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八大家300套人才公寓项目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维修工程结算审计询价函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1、项目名称：八大家300套人才公寓项目维修工程结算审计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2、项目地点：武汉市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青山区八大家花园38街坊、42街坊、43街坊。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3、询价内容：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八大家300套人才公寓</w:t>
      </w:r>
      <w:r>
        <w:rPr>
          <w:rFonts w:hint="eastAsia" w:ascii="Times New Roman" w:hAnsi="Times New Roman" w:eastAsia="仿宋_GB2312"/>
          <w:sz w:val="32"/>
          <w:szCs w:val="32"/>
        </w:rPr>
        <w:t>项目（建筑面积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26688.87㎡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300</w:t>
      </w:r>
      <w:r>
        <w:rPr>
          <w:rFonts w:ascii="Times New Roman" w:hAnsi="Times New Roman" w:eastAsia="仿宋_GB2312"/>
          <w:sz w:val="32"/>
          <w:szCs w:val="32"/>
        </w:rPr>
        <w:t>套房源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进行前期维修工程（维修项目526项，维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修费用报价107万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）的结算审计工作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4、招采人：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最高限价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以估算价13910元作为本次询价最高限价。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评选原则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符合资格要求中，最低价中选。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实施期限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合同签订后</w:t>
      </w:r>
      <w:r>
        <w:rPr>
          <w:rFonts w:ascii="Times New Roman" w:hAnsi="Times New Roman" w:eastAsia="仿宋_GB2312"/>
          <w:sz w:val="32"/>
          <w:szCs w:val="32"/>
        </w:rPr>
        <w:t>15个自然日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服务要求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按照约定时间完成八大家300套人才公寓项目维修工程结算审计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工作并出具项目维修工程结算审计报告书，</w:t>
      </w:r>
      <w:r>
        <w:rPr>
          <w:rFonts w:hint="eastAsia" w:ascii="Times New Roman" w:hAnsi="Times New Roman" w:eastAsia="仿宋_GB2312"/>
          <w:sz w:val="32"/>
          <w:szCs w:val="32"/>
        </w:rPr>
        <w:t>同时对在执行业务过程中悉知的商业信息保密。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竞选</w:t>
      </w:r>
      <w:r>
        <w:rPr>
          <w:rFonts w:hint="eastAsia" w:ascii="黑体" w:hAnsi="黑体" w:eastAsia="黑体" w:cs="黑体"/>
          <w:sz w:val="32"/>
          <w:szCs w:val="32"/>
        </w:rPr>
        <w:t>单位资格条件要求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报价人需提供武汉城建集团有限公司库内单位证明。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sz w:val="32"/>
          <w:szCs w:val="32"/>
        </w:rPr>
        <w:t>须是中华人民共和国境内注册取得营业执照的独立法人,营业执照具备相应的经营范围。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、参选单位近三年承接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工程结算审计</w:t>
      </w:r>
      <w:r>
        <w:rPr>
          <w:rFonts w:hint="eastAsia" w:ascii="Times New Roman" w:hAnsi="Times New Roman" w:eastAsia="仿宋_GB2312"/>
          <w:sz w:val="32"/>
          <w:szCs w:val="32"/>
        </w:rPr>
        <w:t>工作（参选单位的业绩证明应包括项目类型、合同复印件等）。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、投标人参加本次采购活动前三年内未被列入“信用中国”网站（www.creditchina.gov.cn）失信被执行、重大税收违法案件当事人名单、企业经营异常名录。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、本项目不允许联合体投标。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报价要求及注意事项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、报价截止时间：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日17：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0时止，请申请人提交报价文件，包括附件1报价一览表，附件2法定代表人授权委托书及“六、竞选单位资格条件要求”中所有材料的加盖公章的复印件，以密封的形式送达武汉市江岸区三阳路55号江花综合大楼16层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、报价到达地址：武汉市江岸区三阳路5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黄鑫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13638635619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ind w:left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pStyle w:val="2"/>
        <w:ind w:left="360" w:firstLine="0"/>
        <w:outlineLvl w:val="1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pStyle w:val="2"/>
        <w:ind w:left="360" w:firstLine="0"/>
        <w:jc w:val="center"/>
        <w:outlineLvl w:val="1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报价一览表</w:t>
      </w:r>
    </w:p>
    <w:p/>
    <w:p>
      <w:pPr>
        <w:ind w:firstLine="4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24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八大家300套人才公寓项目维修工程结算审计</w:t>
      </w:r>
    </w:p>
    <w:p>
      <w:pPr>
        <w:spacing w:line="300" w:lineRule="auto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                      </w:t>
      </w:r>
    </w:p>
    <w:tbl>
      <w:tblPr>
        <w:tblStyle w:val="5"/>
        <w:tblW w:w="88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862"/>
        <w:gridCol w:w="942"/>
        <w:gridCol w:w="142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报价内容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价格（元）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八大家300套人才公寓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前期维修工程提供结算审计服务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526项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投标总报价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元</w:t>
            </w:r>
          </w:p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8817" w:type="dxa"/>
            <w:gridSpan w:val="5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left="980" w:hanging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/>
              <w:ind w:left="980" w:hanging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（盖章）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说明：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1．所有报价除国家法律法规要求外，其余单价按最终审计价做同比例调整。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2．若未提供详细的分项报价将被视为没有实质性响应询价文件。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2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hint="eastAsia"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年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月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日签字生效，特此声明。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5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1" w:name="_Toc78200364"/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7"/>
        <w:spacing w:line="300" w:lineRule="auto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7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</w:t>
      </w:r>
    </w:p>
    <w:p>
      <w:pPr>
        <w:pStyle w:val="7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</w:p>
    <w:p>
      <w:pPr>
        <w:pStyle w:val="7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成立时间：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</w:t>
      </w:r>
      <w:r>
        <w:rPr>
          <w:rFonts w:hint="eastAsia" w:ascii="仿宋_GB2312" w:hAnsi="Arial" w:eastAsia="仿宋_GB2312" w:cs="Arial"/>
          <w:color w:val="auto"/>
        </w:rPr>
        <w:t>月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auto"/>
        </w:rPr>
        <w:t xml:space="preserve">日 </w:t>
      </w:r>
    </w:p>
    <w:p>
      <w:pPr>
        <w:pStyle w:val="7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  </w:t>
      </w:r>
    </w:p>
    <w:p>
      <w:pPr>
        <w:pStyle w:val="7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性别：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年龄：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职务：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</w:p>
    <w:p>
      <w:pPr>
        <w:pStyle w:val="7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>（投标人名称）的法定代表人</w:t>
      </w:r>
    </w:p>
    <w:p>
      <w:pPr>
        <w:pStyle w:val="7"/>
        <w:spacing w:line="36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7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7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7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7"/>
        <w:spacing w:line="300" w:lineRule="auto"/>
        <w:ind w:firstLine="5040" w:firstLineChars="2100"/>
        <w:jc w:val="both"/>
        <w:rPr>
          <w:rFonts w:hint="eastAsia"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4"/>
        </w:rPr>
        <w:t>年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月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日</w:t>
      </w: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</w:p>
    <w:p>
      <w:pPr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5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仿宋_GB2312" w:hAnsi="Arial" w:eastAsia="仿宋_GB2312" w:cs="Arial"/>
          <w:strike/>
          <w:sz w:val="24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76654"/>
    <w:multiLevelType w:val="singleLevel"/>
    <w:tmpl w:val="D15766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2184E"/>
    <w:rsid w:val="0622184E"/>
    <w:rsid w:val="09550B30"/>
    <w:rsid w:val="09A22B4F"/>
    <w:rsid w:val="0C06239D"/>
    <w:rsid w:val="0CDC599D"/>
    <w:rsid w:val="1EBC42F5"/>
    <w:rsid w:val="2C511794"/>
    <w:rsid w:val="31E56210"/>
    <w:rsid w:val="347413B3"/>
    <w:rsid w:val="3A861854"/>
    <w:rsid w:val="540B00B6"/>
    <w:rsid w:val="56E53E79"/>
    <w:rsid w:val="57907041"/>
    <w:rsid w:val="6138017C"/>
    <w:rsid w:val="6BE63515"/>
    <w:rsid w:val="7B0C184A"/>
    <w:rsid w:val="7F4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Administrator</dc:creator>
  <cp:lastModifiedBy>麟酱</cp:lastModifiedBy>
  <cp:lastPrinted>2022-07-05T08:03:00Z</cp:lastPrinted>
  <dcterms:modified xsi:type="dcterms:W3CDTF">2022-07-20T00:51:39Z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E84D3FF174754CFEA201687030704127</vt:lpwstr>
  </property>
</Properties>
</file>